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FE" w:rsidRDefault="00921191">
      <w:r>
        <w:rPr>
          <w:noProof/>
          <w:lang w:eastAsia="en-GB"/>
        </w:rPr>
        <w:drawing>
          <wp:inline distT="0" distB="0" distL="0" distR="0" wp14:anchorId="3CC2BB70" wp14:editId="2DC42C27">
            <wp:extent cx="5731510" cy="7623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7623175"/>
                    </a:xfrm>
                    <a:prstGeom prst="rect">
                      <a:avLst/>
                    </a:prstGeom>
                  </pic:spPr>
                </pic:pic>
              </a:graphicData>
            </a:graphic>
          </wp:inline>
        </w:drawing>
      </w:r>
    </w:p>
    <w:p w:rsidR="00921191" w:rsidRDefault="00921191"/>
    <w:p w:rsidR="00921191" w:rsidRDefault="00921191"/>
    <w:p w:rsidR="00921191" w:rsidRDefault="00921191"/>
    <w:p w:rsidR="00921191" w:rsidRDefault="00921191"/>
    <w:p w:rsidR="00921191" w:rsidRPr="0055239F" w:rsidRDefault="00921191">
      <w:pPr>
        <w:rPr>
          <w:rFonts w:cstheme="minorHAnsi"/>
          <w:b/>
          <w:sz w:val="24"/>
          <w:szCs w:val="24"/>
        </w:rPr>
      </w:pPr>
      <w:r w:rsidRPr="0055239F">
        <w:rPr>
          <w:rFonts w:cstheme="minorHAnsi"/>
          <w:b/>
          <w:sz w:val="24"/>
          <w:szCs w:val="24"/>
        </w:rPr>
        <w:lastRenderedPageBreak/>
        <w:t>Thetford Forest</w:t>
      </w:r>
    </w:p>
    <w:p w:rsidR="00921191" w:rsidRPr="0055239F" w:rsidRDefault="00921191">
      <w:pPr>
        <w:rPr>
          <w:rFonts w:cstheme="minorHAnsi"/>
          <w:sz w:val="24"/>
          <w:szCs w:val="24"/>
          <w:u w:val="single"/>
        </w:rPr>
      </w:pPr>
      <w:r w:rsidRPr="0055239F">
        <w:rPr>
          <w:rFonts w:cstheme="minorHAnsi"/>
          <w:sz w:val="24"/>
          <w:szCs w:val="24"/>
          <w:u w:val="single"/>
        </w:rPr>
        <w:t>Where is it?</w:t>
      </w:r>
    </w:p>
    <w:p w:rsidR="00921191" w:rsidRPr="0055239F" w:rsidRDefault="00921191" w:rsidP="00921191">
      <w:pPr>
        <w:rPr>
          <w:rFonts w:cstheme="minorHAnsi"/>
          <w:sz w:val="24"/>
          <w:szCs w:val="24"/>
          <w:shd w:val="clear" w:color="auto" w:fill="FFFFFF"/>
        </w:rPr>
      </w:pPr>
      <w:r w:rsidRPr="0055239F">
        <w:rPr>
          <w:rFonts w:cstheme="minorHAnsi"/>
          <w:sz w:val="24"/>
          <w:szCs w:val="24"/>
          <w:shd w:val="clear" w:color="auto" w:fill="FFFFFF"/>
        </w:rPr>
        <w:t>Thetford Forest is located on the border of </w:t>
      </w:r>
      <w:r w:rsidRPr="0055239F">
        <w:rPr>
          <w:rFonts w:cstheme="minorHAnsi"/>
          <w:bCs/>
          <w:sz w:val="24"/>
          <w:szCs w:val="24"/>
          <w:shd w:val="clear" w:color="auto" w:fill="FFFFFF"/>
        </w:rPr>
        <w:t>Norfolk</w:t>
      </w:r>
      <w:r w:rsidRPr="0055239F">
        <w:rPr>
          <w:rFonts w:cstheme="minorHAnsi"/>
          <w:sz w:val="24"/>
          <w:szCs w:val="24"/>
          <w:shd w:val="clear" w:color="auto" w:fill="FFFFFF"/>
        </w:rPr>
        <w:t xml:space="preserve"> and Suffolk in the heart of </w:t>
      </w:r>
      <w:proofErr w:type="spellStart"/>
      <w:r w:rsidRPr="0055239F">
        <w:rPr>
          <w:rFonts w:cstheme="minorHAnsi"/>
          <w:sz w:val="24"/>
          <w:szCs w:val="24"/>
          <w:shd w:val="clear" w:color="auto" w:fill="FFFFFF"/>
        </w:rPr>
        <w:t>Breckland</w:t>
      </w:r>
      <w:proofErr w:type="spellEnd"/>
      <w:r w:rsidRPr="0055239F">
        <w:rPr>
          <w:rFonts w:cstheme="minorHAnsi"/>
          <w:sz w:val="24"/>
          <w:szCs w:val="24"/>
          <w:shd w:val="clear" w:color="auto" w:fill="FFFFFF"/>
        </w:rPr>
        <w:t xml:space="preserve"> in East Anglia. Major roads leading to Thetford Forest are the M11 from </w:t>
      </w:r>
      <w:r w:rsidRPr="0055239F">
        <w:rPr>
          <w:rFonts w:cstheme="minorHAnsi"/>
          <w:bCs/>
          <w:sz w:val="24"/>
          <w:szCs w:val="24"/>
          <w:shd w:val="clear" w:color="auto" w:fill="FFFFFF"/>
        </w:rPr>
        <w:t>London</w:t>
      </w:r>
      <w:r w:rsidRPr="0055239F">
        <w:rPr>
          <w:rFonts w:cstheme="minorHAnsi"/>
          <w:sz w:val="24"/>
          <w:szCs w:val="24"/>
          <w:shd w:val="clear" w:color="auto" w:fill="FFFFFF"/>
        </w:rPr>
        <w:t>, the A11 from Norwich or Newmarket and the A14 from Cambridge or Ipswich.</w:t>
      </w:r>
      <w:r w:rsidRPr="0055239F">
        <w:rPr>
          <w:rFonts w:cstheme="minorHAnsi"/>
          <w:sz w:val="24"/>
          <w:szCs w:val="24"/>
          <w:shd w:val="clear" w:color="auto" w:fill="FFFFFF"/>
        </w:rPr>
        <w:t xml:space="preserve"> It covers 18,730 hectares.</w:t>
      </w:r>
      <w:r w:rsidR="0055239F">
        <w:rPr>
          <w:rFonts w:cstheme="minorHAnsi"/>
          <w:sz w:val="24"/>
          <w:szCs w:val="24"/>
          <w:shd w:val="clear" w:color="auto" w:fill="FFFFFF"/>
        </w:rPr>
        <w:t xml:space="preserve"> A river called the Little Ouse runs through part of the forest.</w:t>
      </w:r>
    </w:p>
    <w:p w:rsidR="00921191" w:rsidRPr="0055239F" w:rsidRDefault="00921191" w:rsidP="00921191">
      <w:pPr>
        <w:rPr>
          <w:rFonts w:cstheme="minorHAnsi"/>
          <w:sz w:val="24"/>
          <w:szCs w:val="24"/>
          <w:u w:val="single"/>
          <w:shd w:val="clear" w:color="auto" w:fill="FFFFFF"/>
        </w:rPr>
      </w:pPr>
      <w:r w:rsidRPr="0055239F">
        <w:rPr>
          <w:rFonts w:eastAsia="Times New Roman" w:cstheme="minorHAnsi"/>
          <w:sz w:val="24"/>
          <w:szCs w:val="24"/>
          <w:u w:val="single"/>
          <w:lang w:eastAsia="en-GB"/>
        </w:rPr>
        <w:t>How old is it?</w:t>
      </w:r>
    </w:p>
    <w:p w:rsidR="00921191" w:rsidRPr="0055239F" w:rsidRDefault="00921191" w:rsidP="00921191">
      <w:pPr>
        <w:pStyle w:val="NormalWeb"/>
        <w:rPr>
          <w:rFonts w:asciiTheme="minorHAnsi" w:hAnsiTheme="minorHAnsi" w:cstheme="minorHAnsi"/>
          <w:spacing w:val="8"/>
        </w:rPr>
      </w:pPr>
      <w:r w:rsidRPr="0055239F">
        <w:rPr>
          <w:rFonts w:asciiTheme="minorHAnsi" w:hAnsiTheme="minorHAnsi" w:cstheme="minorHAnsi"/>
          <w:spacing w:val="8"/>
        </w:rPr>
        <w:t>Thetford Forest is the largest man-made pine forest in the United Kingdom and covers an area about the size of a city.</w:t>
      </w:r>
      <w:r w:rsidRPr="0055239F">
        <w:rPr>
          <w:rFonts w:asciiTheme="minorHAnsi" w:hAnsiTheme="minorHAnsi" w:cstheme="minorHAnsi"/>
          <w:spacing w:val="8"/>
        </w:rPr>
        <w:t xml:space="preserve"> The first trees were planted after the First World War</w:t>
      </w:r>
      <w:r w:rsidRPr="0055239F">
        <w:rPr>
          <w:rFonts w:asciiTheme="minorHAnsi" w:hAnsiTheme="minorHAnsi" w:cstheme="minorHAnsi"/>
          <w:spacing w:val="8"/>
        </w:rPr>
        <w:t xml:space="preserve"> in the 1920s by the Forestry Commission, it forms a large part of the history of the Brecks landscape</w:t>
      </w:r>
      <w:r w:rsidRPr="0055239F">
        <w:rPr>
          <w:rFonts w:asciiTheme="minorHAnsi" w:hAnsiTheme="minorHAnsi" w:cstheme="minorHAnsi"/>
          <w:spacing w:val="8"/>
        </w:rPr>
        <w:t>.</w:t>
      </w:r>
    </w:p>
    <w:p w:rsidR="00921191" w:rsidRPr="0055239F" w:rsidRDefault="00921191" w:rsidP="00921191">
      <w:pPr>
        <w:pStyle w:val="NormalWeb"/>
        <w:rPr>
          <w:rFonts w:asciiTheme="minorHAnsi" w:hAnsiTheme="minorHAnsi" w:cstheme="minorHAnsi"/>
          <w:spacing w:val="8"/>
          <w:u w:val="single"/>
        </w:rPr>
      </w:pPr>
      <w:r w:rsidRPr="0055239F">
        <w:rPr>
          <w:rFonts w:asciiTheme="minorHAnsi" w:hAnsiTheme="minorHAnsi" w:cstheme="minorHAnsi"/>
          <w:spacing w:val="8"/>
          <w:u w:val="single"/>
        </w:rPr>
        <w:t>Why is it important?</w:t>
      </w:r>
    </w:p>
    <w:p w:rsidR="00921191" w:rsidRPr="0055239F" w:rsidRDefault="00921191" w:rsidP="00921191">
      <w:pPr>
        <w:pStyle w:val="NormalWeb"/>
        <w:rPr>
          <w:rFonts w:asciiTheme="minorHAnsi" w:hAnsiTheme="minorHAnsi" w:cstheme="minorHAnsi"/>
          <w:shd w:val="clear" w:color="auto" w:fill="FFFFFF"/>
        </w:rPr>
      </w:pPr>
      <w:r w:rsidRPr="0055239F">
        <w:rPr>
          <w:rFonts w:asciiTheme="minorHAnsi" w:hAnsiTheme="minorHAnsi" w:cstheme="minorHAnsi"/>
          <w:bCs/>
          <w:shd w:val="clear" w:color="auto" w:fill="FFFFFF"/>
        </w:rPr>
        <w:t>Thetford Forest</w:t>
      </w:r>
      <w:r w:rsidRPr="0055239F">
        <w:rPr>
          <w:rFonts w:asciiTheme="minorHAnsi" w:hAnsiTheme="minorHAnsi" w:cstheme="minorHAnsi"/>
          <w:shd w:val="clear" w:color="auto" w:fill="FFFFFF"/>
        </w:rPr>
        <w:t> was created after the First World War to provide a strategic reserve of timber, since the country had lost so many oaks and other slow-growing trees as a consequence of the war's demands. It is managed by the </w:t>
      </w:r>
      <w:r w:rsidRPr="0055239F">
        <w:rPr>
          <w:rFonts w:asciiTheme="minorHAnsi" w:hAnsiTheme="minorHAnsi" w:cstheme="minorHAnsi"/>
          <w:bCs/>
          <w:shd w:val="clear" w:color="auto" w:fill="FFFFFF"/>
        </w:rPr>
        <w:t>Forestry</w:t>
      </w:r>
      <w:r w:rsidRPr="0055239F">
        <w:rPr>
          <w:rFonts w:asciiTheme="minorHAnsi" w:hAnsiTheme="minorHAnsi" w:cstheme="minorHAnsi"/>
          <w:shd w:val="clear" w:color="auto" w:fill="FFFFFF"/>
        </w:rPr>
        <w:t> Commission.</w:t>
      </w:r>
    </w:p>
    <w:p w:rsidR="00921191" w:rsidRPr="0055239F" w:rsidRDefault="00921191" w:rsidP="00921191">
      <w:pPr>
        <w:pStyle w:val="NormalWeb"/>
        <w:rPr>
          <w:rFonts w:asciiTheme="minorHAnsi" w:hAnsiTheme="minorHAnsi" w:cstheme="minorHAnsi"/>
          <w:shd w:val="clear" w:color="auto" w:fill="FFFFFF"/>
        </w:rPr>
      </w:pPr>
      <w:r w:rsidRPr="0055239F">
        <w:rPr>
          <w:rFonts w:asciiTheme="minorHAnsi" w:hAnsiTheme="minorHAnsi" w:cstheme="minorHAnsi"/>
          <w:shd w:val="clear" w:color="auto" w:fill="FFFFFF"/>
        </w:rPr>
        <w:t>From at least the fourteenth century, large areas were used for warrens, and the intensive grazing of rabbits lead to the formation in places of mobile sand dunes. In the 1760s the area was described as 'sand, and scattered gravel, without the least vege</w:t>
      </w:r>
      <w:r w:rsidRPr="0055239F">
        <w:rPr>
          <w:rFonts w:asciiTheme="minorHAnsi" w:hAnsiTheme="minorHAnsi" w:cstheme="minorHAnsi"/>
          <w:shd w:val="clear" w:color="auto" w:fill="FFFFFF"/>
        </w:rPr>
        <w:t>tation; a mere African desert'. It looks very different now although you can still see some sand dunes!</w:t>
      </w:r>
    </w:p>
    <w:p w:rsidR="00921191" w:rsidRPr="0055239F" w:rsidRDefault="00921191" w:rsidP="00921191">
      <w:pPr>
        <w:pStyle w:val="NormalWeb"/>
        <w:shd w:val="clear" w:color="auto" w:fill="FFFFFF"/>
        <w:spacing w:before="240" w:beforeAutospacing="0" w:after="0" w:afterAutospacing="0" w:line="300" w:lineRule="atLeast"/>
        <w:rPr>
          <w:rFonts w:asciiTheme="minorHAnsi" w:hAnsiTheme="minorHAnsi" w:cstheme="minorHAnsi"/>
        </w:rPr>
      </w:pPr>
      <w:proofErr w:type="spellStart"/>
      <w:r w:rsidRPr="0055239F">
        <w:rPr>
          <w:rFonts w:asciiTheme="minorHAnsi" w:hAnsiTheme="minorHAnsi" w:cstheme="minorHAnsi"/>
        </w:rPr>
        <w:t>Breckland</w:t>
      </w:r>
      <w:proofErr w:type="spellEnd"/>
      <w:r w:rsidRPr="0055239F">
        <w:rPr>
          <w:rFonts w:asciiTheme="minorHAnsi" w:hAnsiTheme="minorHAnsi" w:cstheme="minorHAnsi"/>
        </w:rPr>
        <w:t xml:space="preserve"> boasts some of the most important sites of historical interest in the country, not least 5,000-year-old </w:t>
      </w:r>
      <w:hyperlink r:id="rId5" w:tooltip="Grime's Graves" w:history="1">
        <w:r w:rsidRPr="0055239F">
          <w:rPr>
            <w:rStyle w:val="Hyperlink"/>
            <w:rFonts w:asciiTheme="minorHAnsi" w:hAnsiTheme="minorHAnsi" w:cstheme="minorHAnsi"/>
            <w:color w:val="auto"/>
            <w:u w:val="none"/>
          </w:rPr>
          <w:t>Grime’s Graves</w:t>
        </w:r>
      </w:hyperlink>
      <w:r w:rsidRPr="0055239F">
        <w:rPr>
          <w:rFonts w:asciiTheme="minorHAnsi" w:hAnsiTheme="minorHAnsi" w:cstheme="minorHAnsi"/>
        </w:rPr>
        <w:t>, the only Neolithic </w:t>
      </w:r>
      <w:hyperlink r:id="rId6" w:tooltip="Flint - Natural Wonder of Norfolk" w:history="1">
        <w:r w:rsidRPr="0055239F">
          <w:rPr>
            <w:rStyle w:val="Hyperlink"/>
            <w:rFonts w:asciiTheme="minorHAnsi" w:hAnsiTheme="minorHAnsi" w:cstheme="minorHAnsi"/>
            <w:color w:val="auto"/>
            <w:u w:val="none"/>
          </w:rPr>
          <w:t>flint</w:t>
        </w:r>
      </w:hyperlink>
      <w:r w:rsidRPr="0055239F">
        <w:rPr>
          <w:rFonts w:asciiTheme="minorHAnsi" w:hAnsiTheme="minorHAnsi" w:cstheme="minorHAnsi"/>
        </w:rPr>
        <w:t> mine open in Britain.</w:t>
      </w:r>
    </w:p>
    <w:p w:rsidR="00921191" w:rsidRPr="0055239F" w:rsidRDefault="00921191" w:rsidP="00921191">
      <w:pPr>
        <w:pStyle w:val="NormalWeb"/>
        <w:shd w:val="clear" w:color="auto" w:fill="FFFFFF"/>
        <w:spacing w:before="240" w:beforeAutospacing="0" w:after="0" w:afterAutospacing="0" w:line="300" w:lineRule="atLeast"/>
        <w:rPr>
          <w:rFonts w:asciiTheme="minorHAnsi" w:hAnsiTheme="minorHAnsi" w:cstheme="minorHAnsi"/>
        </w:rPr>
      </w:pPr>
      <w:r w:rsidRPr="0055239F">
        <w:rPr>
          <w:rFonts w:asciiTheme="minorHAnsi" w:hAnsiTheme="minorHAnsi" w:cstheme="minorHAnsi"/>
        </w:rPr>
        <w:t xml:space="preserve">The site of </w:t>
      </w:r>
      <w:proofErr w:type="spellStart"/>
      <w:r w:rsidRPr="0055239F">
        <w:rPr>
          <w:rFonts w:asciiTheme="minorHAnsi" w:hAnsiTheme="minorHAnsi" w:cstheme="minorHAnsi"/>
        </w:rPr>
        <w:t>Lynford</w:t>
      </w:r>
      <w:proofErr w:type="spellEnd"/>
      <w:r w:rsidRPr="0055239F">
        <w:rPr>
          <w:rFonts w:asciiTheme="minorHAnsi" w:hAnsiTheme="minorHAnsi" w:cstheme="minorHAnsi"/>
        </w:rPr>
        <w:t xml:space="preserve"> in Thetford Forest, where a group of gravel pits are located on a flood plain terrace on the south bank of the River Wissey, is one of the best preserved late Middle Palaeolithic sites in Britain and the most important Neanderthal site in the whole of the British Isles.</w:t>
      </w:r>
    </w:p>
    <w:p w:rsidR="00921191" w:rsidRPr="0055239F" w:rsidRDefault="00921191" w:rsidP="00921191">
      <w:pPr>
        <w:pStyle w:val="NormalWeb"/>
        <w:shd w:val="clear" w:color="auto" w:fill="FFFFFF"/>
        <w:spacing w:before="240" w:beforeAutospacing="0" w:after="0" w:afterAutospacing="0" w:line="300" w:lineRule="atLeast"/>
        <w:rPr>
          <w:rFonts w:asciiTheme="minorHAnsi" w:hAnsiTheme="minorHAnsi" w:cstheme="minorHAnsi"/>
        </w:rPr>
      </w:pPr>
      <w:r w:rsidRPr="0055239F">
        <w:rPr>
          <w:rFonts w:asciiTheme="minorHAnsi" w:hAnsiTheme="minorHAnsi" w:cstheme="minorHAnsi"/>
        </w:rPr>
        <w:t xml:space="preserve">In 2002 archaeological investigation revealed evidence of early human activity in direct association with mammoth bones dating back 65,000 years. Black flint hand axes were found within the same layer of sediment as the remains of at least nine woolly mammoths, marking </w:t>
      </w:r>
      <w:proofErr w:type="spellStart"/>
      <w:r w:rsidRPr="0055239F">
        <w:rPr>
          <w:rFonts w:asciiTheme="minorHAnsi" w:hAnsiTheme="minorHAnsi" w:cstheme="minorHAnsi"/>
        </w:rPr>
        <w:t>Lynford</w:t>
      </w:r>
      <w:proofErr w:type="spellEnd"/>
      <w:r w:rsidRPr="0055239F">
        <w:rPr>
          <w:rFonts w:asciiTheme="minorHAnsi" w:hAnsiTheme="minorHAnsi" w:cstheme="minorHAnsi"/>
        </w:rPr>
        <w:t xml:space="preserve"> as the only recorded mammoth butchery site in Britain</w:t>
      </w:r>
    </w:p>
    <w:p w:rsidR="00921191" w:rsidRPr="0055239F" w:rsidRDefault="00921191" w:rsidP="00921191">
      <w:pPr>
        <w:pStyle w:val="NormalWeb"/>
        <w:rPr>
          <w:rFonts w:asciiTheme="minorHAnsi" w:hAnsiTheme="minorHAnsi" w:cstheme="minorHAnsi"/>
          <w:u w:val="single"/>
          <w:shd w:val="clear" w:color="auto" w:fill="FFFFFF"/>
        </w:rPr>
      </w:pPr>
      <w:r w:rsidRPr="0055239F">
        <w:rPr>
          <w:rFonts w:asciiTheme="minorHAnsi" w:hAnsiTheme="minorHAnsi" w:cstheme="minorHAnsi"/>
          <w:u w:val="single"/>
          <w:shd w:val="clear" w:color="auto" w:fill="FFFFFF"/>
        </w:rPr>
        <w:t>Who lives there?</w:t>
      </w:r>
    </w:p>
    <w:p w:rsidR="00921191" w:rsidRDefault="00921191" w:rsidP="00921191">
      <w:pPr>
        <w:pStyle w:val="NormalWeb"/>
        <w:rPr>
          <w:rFonts w:asciiTheme="minorHAnsi" w:hAnsiTheme="minorHAnsi" w:cstheme="minorHAnsi"/>
          <w:shd w:val="clear" w:color="auto" w:fill="FFFFFF"/>
        </w:rPr>
      </w:pPr>
      <w:r w:rsidRPr="0055239F">
        <w:rPr>
          <w:rFonts w:asciiTheme="minorHAnsi" w:hAnsiTheme="minorHAnsi" w:cstheme="minorHAnsi"/>
          <w:shd w:val="clear" w:color="auto" w:fill="FFFFFF"/>
        </w:rPr>
        <w:t xml:space="preserve">The historical market town of Thetford is home to nearly 25,000 people today. </w:t>
      </w:r>
      <w:r w:rsidRPr="0055239F">
        <w:rPr>
          <w:rFonts w:asciiTheme="minorHAnsi" w:hAnsiTheme="minorHAnsi" w:cstheme="minorHAnsi"/>
          <w:shd w:val="clear" w:color="auto" w:fill="FFFFFF"/>
        </w:rPr>
        <w:t>The Domesday Book of 1086 estimated the </w:t>
      </w:r>
      <w:r w:rsidRPr="0055239F">
        <w:rPr>
          <w:rFonts w:asciiTheme="minorHAnsi" w:hAnsiTheme="minorHAnsi" w:cstheme="minorHAnsi"/>
          <w:bCs/>
          <w:shd w:val="clear" w:color="auto" w:fill="FFFFFF"/>
        </w:rPr>
        <w:t>population of Thetford</w:t>
      </w:r>
      <w:r w:rsidRPr="0055239F">
        <w:rPr>
          <w:rFonts w:asciiTheme="minorHAnsi" w:hAnsiTheme="minorHAnsi" w:cstheme="minorHAnsi"/>
          <w:shd w:val="clear" w:color="auto" w:fill="FFFFFF"/>
        </w:rPr>
        <w:t> to have grown to between 4000 and 4500 </w:t>
      </w:r>
      <w:r w:rsidRPr="0055239F">
        <w:rPr>
          <w:rFonts w:asciiTheme="minorHAnsi" w:hAnsiTheme="minorHAnsi" w:cstheme="minorHAnsi"/>
          <w:bCs/>
          <w:shd w:val="clear" w:color="auto" w:fill="FFFFFF"/>
        </w:rPr>
        <w:t>people</w:t>
      </w:r>
      <w:r w:rsidRPr="0055239F">
        <w:rPr>
          <w:rFonts w:asciiTheme="minorHAnsi" w:hAnsiTheme="minorHAnsi" w:cstheme="minorHAnsi"/>
          <w:shd w:val="clear" w:color="auto" w:fill="FFFFFF"/>
        </w:rPr>
        <w:t>, which would have been the sixth largest town in Britain at the time.</w:t>
      </w: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Use the information from the forest fact sheets to compare the two forests.</w:t>
      </w:r>
    </w:p>
    <w:tbl>
      <w:tblPr>
        <w:tblStyle w:val="TableGrid"/>
        <w:tblW w:w="0" w:type="auto"/>
        <w:tblLook w:val="04A0" w:firstRow="1" w:lastRow="0" w:firstColumn="1" w:lastColumn="0" w:noHBand="0" w:noVBand="1"/>
      </w:tblPr>
      <w:tblGrid>
        <w:gridCol w:w="3005"/>
        <w:gridCol w:w="3005"/>
        <w:gridCol w:w="3006"/>
      </w:tblGrid>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p>
        </w:tc>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Thetford Forest</w:t>
            </w:r>
          </w:p>
        </w:tc>
        <w:tc>
          <w:tcPr>
            <w:tcW w:w="3006"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Amazon Rainforest</w:t>
            </w:r>
          </w:p>
        </w:tc>
      </w:tr>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Location</w:t>
            </w:r>
          </w:p>
        </w:tc>
        <w:tc>
          <w:tcPr>
            <w:tcW w:w="3005" w:type="dxa"/>
          </w:tcPr>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tc>
        <w:tc>
          <w:tcPr>
            <w:tcW w:w="3006" w:type="dxa"/>
          </w:tcPr>
          <w:p w:rsidR="0055239F" w:rsidRDefault="0055239F" w:rsidP="00921191">
            <w:pPr>
              <w:pStyle w:val="NormalWeb"/>
              <w:rPr>
                <w:rFonts w:asciiTheme="minorHAnsi" w:hAnsiTheme="minorHAnsi" w:cstheme="minorHAnsi"/>
                <w:shd w:val="clear" w:color="auto" w:fill="FFFFFF"/>
              </w:rPr>
            </w:pPr>
          </w:p>
        </w:tc>
      </w:tr>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Age</w:t>
            </w:r>
          </w:p>
        </w:tc>
        <w:tc>
          <w:tcPr>
            <w:tcW w:w="3005" w:type="dxa"/>
          </w:tcPr>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tc>
        <w:tc>
          <w:tcPr>
            <w:tcW w:w="3006" w:type="dxa"/>
          </w:tcPr>
          <w:p w:rsidR="0055239F" w:rsidRDefault="0055239F" w:rsidP="00921191">
            <w:pPr>
              <w:pStyle w:val="NormalWeb"/>
              <w:rPr>
                <w:rFonts w:asciiTheme="minorHAnsi" w:hAnsiTheme="minorHAnsi" w:cstheme="minorHAnsi"/>
                <w:shd w:val="clear" w:color="auto" w:fill="FFFFFF"/>
              </w:rPr>
            </w:pPr>
          </w:p>
        </w:tc>
      </w:tr>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Size</w:t>
            </w:r>
          </w:p>
        </w:tc>
        <w:tc>
          <w:tcPr>
            <w:tcW w:w="3005" w:type="dxa"/>
          </w:tcPr>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tc>
        <w:tc>
          <w:tcPr>
            <w:tcW w:w="3006" w:type="dxa"/>
          </w:tcPr>
          <w:p w:rsidR="0055239F" w:rsidRDefault="0055239F" w:rsidP="00921191">
            <w:pPr>
              <w:pStyle w:val="NormalWeb"/>
              <w:rPr>
                <w:rFonts w:asciiTheme="minorHAnsi" w:hAnsiTheme="minorHAnsi" w:cstheme="minorHAnsi"/>
                <w:shd w:val="clear" w:color="auto" w:fill="FFFFFF"/>
              </w:rPr>
            </w:pPr>
          </w:p>
        </w:tc>
      </w:tr>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River(s) passing through it</w:t>
            </w:r>
          </w:p>
        </w:tc>
        <w:tc>
          <w:tcPr>
            <w:tcW w:w="3005" w:type="dxa"/>
          </w:tcPr>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tc>
        <w:tc>
          <w:tcPr>
            <w:tcW w:w="3006" w:type="dxa"/>
          </w:tcPr>
          <w:p w:rsidR="0055239F" w:rsidRDefault="0055239F" w:rsidP="00921191">
            <w:pPr>
              <w:pStyle w:val="NormalWeb"/>
              <w:rPr>
                <w:rFonts w:asciiTheme="minorHAnsi" w:hAnsiTheme="minorHAnsi" w:cstheme="minorHAnsi"/>
                <w:shd w:val="clear" w:color="auto" w:fill="FFFFFF"/>
              </w:rPr>
            </w:pPr>
          </w:p>
        </w:tc>
      </w:tr>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Plants/trees</w:t>
            </w:r>
          </w:p>
        </w:tc>
        <w:tc>
          <w:tcPr>
            <w:tcW w:w="3005" w:type="dxa"/>
          </w:tcPr>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tc>
        <w:tc>
          <w:tcPr>
            <w:tcW w:w="3006" w:type="dxa"/>
          </w:tcPr>
          <w:p w:rsidR="0055239F" w:rsidRDefault="0055239F" w:rsidP="00921191">
            <w:pPr>
              <w:pStyle w:val="NormalWeb"/>
              <w:rPr>
                <w:rFonts w:asciiTheme="minorHAnsi" w:hAnsiTheme="minorHAnsi" w:cstheme="minorHAnsi"/>
                <w:shd w:val="clear" w:color="auto" w:fill="FFFFFF"/>
              </w:rPr>
            </w:pPr>
          </w:p>
        </w:tc>
      </w:tr>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Animals</w:t>
            </w:r>
          </w:p>
        </w:tc>
        <w:tc>
          <w:tcPr>
            <w:tcW w:w="3005" w:type="dxa"/>
          </w:tcPr>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tc>
        <w:tc>
          <w:tcPr>
            <w:tcW w:w="3006" w:type="dxa"/>
          </w:tcPr>
          <w:p w:rsidR="0055239F" w:rsidRDefault="0055239F" w:rsidP="00921191">
            <w:pPr>
              <w:pStyle w:val="NormalWeb"/>
              <w:rPr>
                <w:rFonts w:asciiTheme="minorHAnsi" w:hAnsiTheme="minorHAnsi" w:cstheme="minorHAnsi"/>
                <w:shd w:val="clear" w:color="auto" w:fill="FFFFFF"/>
              </w:rPr>
            </w:pPr>
          </w:p>
        </w:tc>
      </w:tr>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Inhabitants</w:t>
            </w:r>
          </w:p>
        </w:tc>
        <w:tc>
          <w:tcPr>
            <w:tcW w:w="3005" w:type="dxa"/>
          </w:tcPr>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tc>
        <w:tc>
          <w:tcPr>
            <w:tcW w:w="3006" w:type="dxa"/>
          </w:tcPr>
          <w:p w:rsidR="0055239F" w:rsidRDefault="0055239F" w:rsidP="00921191">
            <w:pPr>
              <w:pStyle w:val="NormalWeb"/>
              <w:rPr>
                <w:rFonts w:asciiTheme="minorHAnsi" w:hAnsiTheme="minorHAnsi" w:cstheme="minorHAnsi"/>
                <w:shd w:val="clear" w:color="auto" w:fill="FFFFFF"/>
              </w:rPr>
            </w:pPr>
          </w:p>
        </w:tc>
      </w:tr>
      <w:tr w:rsidR="0055239F" w:rsidTr="0055239F">
        <w:tc>
          <w:tcPr>
            <w:tcW w:w="3005" w:type="dxa"/>
          </w:tcPr>
          <w:p w:rsidR="0055239F" w:rsidRDefault="0055239F" w:rsidP="00921191">
            <w:pPr>
              <w:pStyle w:val="NormalWeb"/>
              <w:rPr>
                <w:rFonts w:asciiTheme="minorHAnsi" w:hAnsiTheme="minorHAnsi" w:cstheme="minorHAnsi"/>
                <w:shd w:val="clear" w:color="auto" w:fill="FFFFFF"/>
              </w:rPr>
            </w:pPr>
            <w:r>
              <w:rPr>
                <w:rFonts w:asciiTheme="minorHAnsi" w:hAnsiTheme="minorHAnsi" w:cstheme="minorHAnsi"/>
                <w:shd w:val="clear" w:color="auto" w:fill="FFFFFF"/>
              </w:rPr>
              <w:t>What is it important or famous for?</w:t>
            </w:r>
          </w:p>
        </w:tc>
        <w:tc>
          <w:tcPr>
            <w:tcW w:w="3005" w:type="dxa"/>
          </w:tcPr>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p>
          <w:p w:rsidR="0055239F" w:rsidRDefault="0055239F" w:rsidP="00921191">
            <w:pPr>
              <w:pStyle w:val="NormalWeb"/>
              <w:rPr>
                <w:rFonts w:asciiTheme="minorHAnsi" w:hAnsiTheme="minorHAnsi" w:cstheme="minorHAnsi"/>
                <w:shd w:val="clear" w:color="auto" w:fill="FFFFFF"/>
              </w:rPr>
            </w:pPr>
            <w:bookmarkStart w:id="0" w:name="_GoBack"/>
            <w:bookmarkEnd w:id="0"/>
          </w:p>
        </w:tc>
        <w:tc>
          <w:tcPr>
            <w:tcW w:w="3006" w:type="dxa"/>
          </w:tcPr>
          <w:p w:rsidR="0055239F" w:rsidRDefault="0055239F" w:rsidP="00921191">
            <w:pPr>
              <w:pStyle w:val="NormalWeb"/>
              <w:rPr>
                <w:rFonts w:asciiTheme="minorHAnsi" w:hAnsiTheme="minorHAnsi" w:cstheme="minorHAnsi"/>
                <w:shd w:val="clear" w:color="auto" w:fill="FFFFFF"/>
              </w:rPr>
            </w:pPr>
          </w:p>
        </w:tc>
      </w:tr>
    </w:tbl>
    <w:p w:rsidR="0055239F" w:rsidRPr="0055239F" w:rsidRDefault="0055239F" w:rsidP="00921191">
      <w:pPr>
        <w:pStyle w:val="NormalWeb"/>
        <w:rPr>
          <w:rFonts w:asciiTheme="minorHAnsi" w:hAnsiTheme="minorHAnsi" w:cstheme="minorHAnsi"/>
          <w:shd w:val="clear" w:color="auto" w:fill="FFFFFF"/>
        </w:rPr>
      </w:pPr>
    </w:p>
    <w:p w:rsidR="00921191" w:rsidRDefault="00921191" w:rsidP="00921191">
      <w:pPr>
        <w:pStyle w:val="NormalWeb"/>
        <w:rPr>
          <w:rFonts w:ascii="Arial" w:hAnsi="Arial" w:cs="Arial"/>
          <w:color w:val="000000"/>
          <w:spacing w:val="8"/>
        </w:rPr>
      </w:pPr>
    </w:p>
    <w:p w:rsidR="00921191" w:rsidRPr="00921191" w:rsidRDefault="00921191" w:rsidP="00921191">
      <w:pPr>
        <w:shd w:val="clear" w:color="auto" w:fill="FFFFFF"/>
        <w:spacing w:before="100" w:beforeAutospacing="1" w:after="100" w:afterAutospacing="1" w:line="240" w:lineRule="auto"/>
        <w:textAlignment w:val="baseline"/>
        <w:outlineLvl w:val="1"/>
        <w:rPr>
          <w:rFonts w:ascii="Arial" w:eastAsia="Times New Roman" w:hAnsi="Arial" w:cs="Arial"/>
          <w:color w:val="1E2522"/>
          <w:sz w:val="36"/>
          <w:szCs w:val="36"/>
          <w:lang w:eastAsia="en-GB"/>
        </w:rPr>
      </w:pPr>
    </w:p>
    <w:p w:rsidR="00921191" w:rsidRDefault="00921191"/>
    <w:sectPr w:rsidR="00921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91"/>
    <w:rsid w:val="0055239F"/>
    <w:rsid w:val="00921191"/>
    <w:rsid w:val="00E3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956E"/>
  <w15:chartTrackingRefBased/>
  <w15:docId w15:val="{A231A04B-12FC-4EB5-90BE-27469883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11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19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21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1191"/>
    <w:rPr>
      <w:color w:val="0000FF"/>
      <w:u w:val="single"/>
    </w:rPr>
  </w:style>
  <w:style w:type="table" w:styleId="TableGrid">
    <w:name w:val="Table Grid"/>
    <w:basedOn w:val="TableNormal"/>
    <w:uiPriority w:val="39"/>
    <w:rsid w:val="0055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3848">
      <w:bodyDiv w:val="1"/>
      <w:marLeft w:val="0"/>
      <w:marRight w:val="0"/>
      <w:marTop w:val="0"/>
      <w:marBottom w:val="0"/>
      <w:divBdr>
        <w:top w:val="none" w:sz="0" w:space="0" w:color="auto"/>
        <w:left w:val="none" w:sz="0" w:space="0" w:color="auto"/>
        <w:bottom w:val="none" w:sz="0" w:space="0" w:color="auto"/>
        <w:right w:val="none" w:sz="0" w:space="0" w:color="auto"/>
      </w:divBdr>
    </w:div>
    <w:div w:id="714231848">
      <w:bodyDiv w:val="1"/>
      <w:marLeft w:val="0"/>
      <w:marRight w:val="0"/>
      <w:marTop w:val="0"/>
      <w:marBottom w:val="0"/>
      <w:divBdr>
        <w:top w:val="none" w:sz="0" w:space="0" w:color="auto"/>
        <w:left w:val="none" w:sz="0" w:space="0" w:color="auto"/>
        <w:bottom w:val="none" w:sz="0" w:space="0" w:color="auto"/>
        <w:right w:val="none" w:sz="0" w:space="0" w:color="auto"/>
      </w:divBdr>
    </w:div>
    <w:div w:id="1126243723">
      <w:bodyDiv w:val="1"/>
      <w:marLeft w:val="0"/>
      <w:marRight w:val="0"/>
      <w:marTop w:val="0"/>
      <w:marBottom w:val="0"/>
      <w:divBdr>
        <w:top w:val="none" w:sz="0" w:space="0" w:color="auto"/>
        <w:left w:val="none" w:sz="0" w:space="0" w:color="auto"/>
        <w:bottom w:val="none" w:sz="0" w:space="0" w:color="auto"/>
        <w:right w:val="none" w:sz="0" w:space="0" w:color="auto"/>
      </w:divBdr>
    </w:div>
    <w:div w:id="16924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norfolk.co.uk/inspire/Seven-Natural-Wonders-of-Norfolk.aspx" TargetMode="External"/><Relationship Id="rId5" Type="http://schemas.openxmlformats.org/officeDocument/2006/relationships/hyperlink" Target="http://www.visitnorfolk.co.uk/explore/Thetford-Grime's-Graves-Prehistoric-Flint-Mine/details/?dms=3&amp;venue=0226347&amp;feature=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Thelwell</dc:creator>
  <cp:keywords/>
  <dc:description/>
  <cp:lastModifiedBy>Caitlin Thelwell</cp:lastModifiedBy>
  <cp:revision>1</cp:revision>
  <dcterms:created xsi:type="dcterms:W3CDTF">2021-01-20T14:39:00Z</dcterms:created>
  <dcterms:modified xsi:type="dcterms:W3CDTF">2021-01-20T14:58:00Z</dcterms:modified>
</cp:coreProperties>
</file>